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9E0C" w14:textId="77777777" w:rsidR="00270A63" w:rsidRDefault="00270A63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155BE444" w14:textId="77777777" w:rsidR="00270A63" w:rsidRDefault="00C70D97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0150B723" w14:textId="77777777" w:rsidR="00270A63" w:rsidRDefault="00270A63">
      <w:pPr>
        <w:jc w:val="center"/>
        <w:rPr>
          <w:rFonts w:ascii="Arial" w:hAnsi="Arial" w:cs="Arial"/>
          <w:rtl/>
          <w:lang w:bidi="ar-LY"/>
        </w:rPr>
      </w:pPr>
    </w:p>
    <w:p w14:paraId="108E6733" w14:textId="77777777" w:rsidR="00270A63" w:rsidRDefault="00270A63">
      <w:pPr>
        <w:jc w:val="center"/>
        <w:rPr>
          <w:rFonts w:ascii="Arial" w:hAnsi="Arial" w:cs="Arial"/>
          <w:rtl/>
          <w:lang w:bidi="ar-LY"/>
        </w:rPr>
      </w:pPr>
    </w:p>
    <w:p w14:paraId="4219CCD2" w14:textId="77777777" w:rsidR="00270A63" w:rsidRDefault="00270A63">
      <w:pPr>
        <w:rPr>
          <w:rFonts w:ascii="Arial" w:hAnsi="Arial" w:cs="Arial"/>
          <w:rtl/>
          <w:lang w:bidi="ar-LY"/>
        </w:rPr>
      </w:pPr>
    </w:p>
    <w:p w14:paraId="72D36998" w14:textId="77777777" w:rsidR="00270A63" w:rsidRDefault="00270A63">
      <w:pPr>
        <w:rPr>
          <w:rFonts w:ascii="Arial" w:hAnsi="Arial" w:cs="Arial"/>
          <w:rtl/>
        </w:rPr>
      </w:pPr>
    </w:p>
    <w:p w14:paraId="3386D186" w14:textId="77777777" w:rsidR="00270A63" w:rsidRDefault="00C70D97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F6D1EF2" wp14:editId="784911FD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20CB55" w14:textId="77777777" w:rsidR="00270A63" w:rsidRDefault="00270A63">
      <w:pPr>
        <w:jc w:val="center"/>
        <w:rPr>
          <w:rFonts w:ascii="Arial" w:hAnsi="Arial" w:cs="Arial"/>
          <w:rtl/>
        </w:rPr>
      </w:pPr>
    </w:p>
    <w:p w14:paraId="43256AEC" w14:textId="77777777" w:rsidR="00270A63" w:rsidRDefault="00270A63">
      <w:pPr>
        <w:rPr>
          <w:rFonts w:ascii="Arial" w:hAnsi="Arial" w:cs="Arial"/>
          <w:rtl/>
          <w:lang w:bidi="ar-LY"/>
        </w:rPr>
      </w:pPr>
    </w:p>
    <w:p w14:paraId="0D83C0EB" w14:textId="77777777" w:rsidR="00270A63" w:rsidRDefault="00270A63">
      <w:pPr>
        <w:rPr>
          <w:rFonts w:ascii="Arial" w:hAnsi="Arial" w:cs="Arial"/>
          <w:rtl/>
          <w:lang w:bidi="ar-LY"/>
        </w:rPr>
      </w:pPr>
    </w:p>
    <w:p w14:paraId="128CC167" w14:textId="77777777" w:rsidR="00270A63" w:rsidRDefault="00270A63">
      <w:pPr>
        <w:rPr>
          <w:rFonts w:ascii="Arial" w:hAnsi="Arial" w:cs="Arial"/>
          <w:rtl/>
          <w:lang w:bidi="ar-LY"/>
        </w:rPr>
      </w:pPr>
    </w:p>
    <w:p w14:paraId="3CE45194" w14:textId="77777777" w:rsidR="00270A63" w:rsidRDefault="00270A63">
      <w:pPr>
        <w:rPr>
          <w:rFonts w:ascii="Arial" w:hAnsi="Arial" w:cs="Arial"/>
          <w:rtl/>
          <w:lang w:bidi="ar-LY"/>
        </w:rPr>
      </w:pPr>
    </w:p>
    <w:p w14:paraId="1E1A6758" w14:textId="77777777" w:rsidR="00270A63" w:rsidRDefault="00270A63">
      <w:pPr>
        <w:rPr>
          <w:rFonts w:ascii="Arial" w:hAnsi="Arial" w:cs="Arial"/>
          <w:rtl/>
          <w:lang w:bidi="ar-LY"/>
        </w:rPr>
      </w:pPr>
    </w:p>
    <w:p w14:paraId="75FB66DE" w14:textId="77777777" w:rsidR="00270A63" w:rsidRDefault="00270A63">
      <w:pPr>
        <w:rPr>
          <w:rFonts w:ascii="Arial" w:hAnsi="Arial" w:cs="Arial"/>
          <w:rtl/>
          <w:lang w:bidi="ar-LY"/>
        </w:rPr>
      </w:pPr>
    </w:p>
    <w:p w14:paraId="48A652ED" w14:textId="77777777" w:rsidR="00270A63" w:rsidRDefault="00270A63">
      <w:pPr>
        <w:rPr>
          <w:rFonts w:ascii="Arial" w:hAnsi="Arial" w:cs="Arial"/>
          <w:rtl/>
          <w:lang w:bidi="ar-LY"/>
        </w:rPr>
      </w:pPr>
    </w:p>
    <w:p w14:paraId="2FC826BD" w14:textId="77777777" w:rsidR="00270A63" w:rsidRDefault="00270A63">
      <w:pPr>
        <w:jc w:val="center"/>
        <w:rPr>
          <w:sz w:val="36"/>
          <w:szCs w:val="36"/>
          <w:rtl/>
          <w:lang w:bidi="ar-LY"/>
        </w:rPr>
      </w:pPr>
    </w:p>
    <w:p w14:paraId="2C82F5EE" w14:textId="77777777" w:rsidR="00270A63" w:rsidRDefault="00C70D97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7217A10" w14:textId="77777777" w:rsidR="00270A63" w:rsidRDefault="00270A63">
      <w:pPr>
        <w:jc w:val="center"/>
        <w:rPr>
          <w:sz w:val="36"/>
          <w:szCs w:val="36"/>
          <w:rtl/>
          <w:lang w:bidi="ar-LY"/>
        </w:rPr>
      </w:pPr>
    </w:p>
    <w:p w14:paraId="1A54800C" w14:textId="77777777" w:rsidR="00270A63" w:rsidRDefault="00C70D97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</w:t>
      </w:r>
      <w:r>
        <w:rPr>
          <w:sz w:val="32"/>
          <w:szCs w:val="32"/>
          <w:lang w:bidi="ar-LY"/>
        </w:rPr>
        <w:t>Medical Sciences</w:t>
      </w:r>
    </w:p>
    <w:p w14:paraId="36C103BB" w14:textId="77777777" w:rsidR="00270A63" w:rsidRDefault="00C70D97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>
        <w:rPr>
          <w:sz w:val="36"/>
          <w:szCs w:val="36"/>
          <w:lang w:bidi="ar-LY"/>
        </w:rPr>
        <w:t>Medical</w:t>
      </w:r>
      <w:proofErr w:type="gramEnd"/>
      <w:r>
        <w:rPr>
          <w:sz w:val="36"/>
          <w:szCs w:val="36"/>
          <w:lang w:bidi="ar-LY"/>
        </w:rPr>
        <w:t xml:space="preserve"> Laboratories </w:t>
      </w:r>
    </w:p>
    <w:p w14:paraId="25B8FFB1" w14:textId="77777777" w:rsidR="00270A63" w:rsidRDefault="00C70D97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</w:t>
      </w:r>
      <w:proofErr w:type="gramEnd"/>
      <w:r>
        <w:rPr>
          <w:sz w:val="36"/>
          <w:szCs w:val="36"/>
        </w:rPr>
        <w:t>Clinical</w:t>
      </w:r>
      <w:r>
        <w:rPr>
          <w:sz w:val="36"/>
          <w:szCs w:val="36"/>
        </w:rPr>
        <w:t xml:space="preserve"> Chemistry  </w:t>
      </w:r>
    </w:p>
    <w:p w14:paraId="4535EC36" w14:textId="77777777" w:rsidR="00270A63" w:rsidRDefault="00C70D97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رمز 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  <w:lang w:bidi="ar-LY"/>
        </w:rPr>
        <w:t>MLT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255 </w:t>
      </w:r>
    </w:p>
    <w:p w14:paraId="40B3B553" w14:textId="77777777" w:rsidR="00270A63" w:rsidRDefault="00C70D97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49400599" w14:textId="77777777" w:rsidR="00270A63" w:rsidRDefault="00270A63">
      <w:pPr>
        <w:rPr>
          <w:rFonts w:ascii="Arial" w:hAnsi="Arial" w:cs="Arial"/>
          <w:rtl/>
        </w:rPr>
      </w:pPr>
    </w:p>
    <w:p w14:paraId="38238D42" w14:textId="77777777" w:rsidR="00270A63" w:rsidRDefault="00270A63">
      <w:pPr>
        <w:rPr>
          <w:rFonts w:ascii="Arial" w:hAnsi="Arial" w:cs="Arial"/>
          <w:rtl/>
        </w:rPr>
      </w:pPr>
    </w:p>
    <w:p w14:paraId="46EEEC2D" w14:textId="77777777" w:rsidR="00270A63" w:rsidRDefault="00270A63">
      <w:pPr>
        <w:jc w:val="center"/>
        <w:rPr>
          <w:rFonts w:ascii="Arial" w:hAnsi="Arial" w:cs="Arial"/>
          <w:sz w:val="36"/>
          <w:szCs w:val="36"/>
          <w:rtl/>
        </w:rPr>
      </w:pPr>
    </w:p>
    <w:p w14:paraId="56E753F6" w14:textId="77777777" w:rsidR="00270A63" w:rsidRDefault="00270A63">
      <w:pPr>
        <w:rPr>
          <w:rFonts w:ascii="Arial" w:hAnsi="Arial" w:cs="Arial"/>
          <w:sz w:val="36"/>
          <w:szCs w:val="36"/>
          <w:rtl/>
        </w:rPr>
      </w:pPr>
    </w:p>
    <w:p w14:paraId="038CE780" w14:textId="77777777" w:rsidR="00270A63" w:rsidRDefault="00270A63">
      <w:pPr>
        <w:jc w:val="center"/>
        <w:rPr>
          <w:rFonts w:ascii="Arial" w:hAnsi="Arial" w:cs="Arial"/>
          <w:sz w:val="36"/>
          <w:szCs w:val="36"/>
          <w:rtl/>
        </w:rPr>
      </w:pPr>
    </w:p>
    <w:p w14:paraId="4F99D8E4" w14:textId="77777777" w:rsidR="00270A63" w:rsidRDefault="00270A63">
      <w:pPr>
        <w:jc w:val="center"/>
        <w:rPr>
          <w:rFonts w:ascii="Arial" w:hAnsi="Arial" w:cs="Arial"/>
          <w:sz w:val="36"/>
          <w:szCs w:val="36"/>
          <w:rtl/>
        </w:rPr>
      </w:pPr>
    </w:p>
    <w:p w14:paraId="5C226FEE" w14:textId="77777777" w:rsidR="00270A63" w:rsidRDefault="00270A63">
      <w:pPr>
        <w:jc w:val="center"/>
        <w:rPr>
          <w:rFonts w:ascii="Arial" w:hAnsi="Arial" w:cs="Arial"/>
          <w:sz w:val="36"/>
          <w:szCs w:val="36"/>
          <w:rtl/>
        </w:rPr>
      </w:pPr>
    </w:p>
    <w:p w14:paraId="302CD3C8" w14:textId="77777777" w:rsidR="00270A63" w:rsidRDefault="00270A63">
      <w:pPr>
        <w:jc w:val="lowKashida"/>
        <w:rPr>
          <w:rFonts w:ascii="Arial" w:hAnsi="Arial" w:cs="Arial"/>
          <w:sz w:val="36"/>
          <w:szCs w:val="36"/>
          <w:rtl/>
        </w:rPr>
      </w:pPr>
    </w:p>
    <w:p w14:paraId="42C55CB9" w14:textId="77777777" w:rsidR="00270A63" w:rsidRDefault="00270A63">
      <w:pPr>
        <w:rPr>
          <w:rtl/>
        </w:rPr>
      </w:pPr>
    </w:p>
    <w:p w14:paraId="28830079" w14:textId="77777777" w:rsidR="00270A63" w:rsidRDefault="00270A63">
      <w:pPr>
        <w:rPr>
          <w:rtl/>
        </w:rPr>
      </w:pPr>
    </w:p>
    <w:p w14:paraId="44B5DE93" w14:textId="77777777" w:rsidR="00270A63" w:rsidRDefault="00270A63">
      <w:pPr>
        <w:rPr>
          <w:rtl/>
        </w:rPr>
      </w:pPr>
    </w:p>
    <w:p w14:paraId="10288539" w14:textId="77777777" w:rsidR="00270A63" w:rsidRDefault="00270A63">
      <w:pPr>
        <w:rPr>
          <w:rtl/>
        </w:rPr>
      </w:pPr>
    </w:p>
    <w:p w14:paraId="7D8B8AAF" w14:textId="77777777" w:rsidR="00270A63" w:rsidRDefault="00270A63">
      <w:pPr>
        <w:rPr>
          <w:rtl/>
        </w:rPr>
      </w:pPr>
    </w:p>
    <w:p w14:paraId="6D545781" w14:textId="77777777" w:rsidR="00270A63" w:rsidRDefault="00C70D97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57ADDA7C" w14:textId="77777777" w:rsidR="00270A63" w:rsidRDefault="00270A63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43A3B32B" w14:textId="77777777" w:rsidR="00270A63" w:rsidRDefault="00C70D97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14:paraId="7A1D5694" w14:textId="77777777" w:rsidR="00270A63" w:rsidRDefault="00270A63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528F636D" w14:textId="77777777" w:rsidR="00270A63" w:rsidRDefault="00270A63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270A63" w14:paraId="0688A44F" w14:textId="77777777">
        <w:tc>
          <w:tcPr>
            <w:tcW w:w="780" w:type="dxa"/>
            <w:shd w:val="clear" w:color="auto" w:fill="D9D9D9"/>
          </w:tcPr>
          <w:p w14:paraId="61E62995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55D622ED" w14:textId="77777777" w:rsidR="00270A63" w:rsidRDefault="00C70D9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 xml:space="preserve">اسم المقرر </w:t>
            </w:r>
            <w:r>
              <w:rPr>
                <w:rFonts w:ascii="Arial" w:hAnsi="Arial" w:cs="AL-Mateen" w:hint="cs"/>
                <w:rtl/>
                <w:lang w:bidi="ar-LY"/>
              </w:rPr>
              <w:t>الدراسي</w:t>
            </w:r>
          </w:p>
        </w:tc>
        <w:tc>
          <w:tcPr>
            <w:tcW w:w="4329" w:type="dxa"/>
            <w:shd w:val="clear" w:color="auto" w:fill="auto"/>
          </w:tcPr>
          <w:p w14:paraId="1306CA39" w14:textId="77777777" w:rsidR="00270A63" w:rsidRDefault="00C70D9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Clinical</w:t>
            </w:r>
            <w:r>
              <w:rPr>
                <w:rtl/>
                <w:lang w:bidi="ar-LY"/>
              </w:rPr>
              <w:t xml:space="preserve"> </w:t>
            </w:r>
            <w:proofErr w:type="spellStart"/>
            <w:r>
              <w:rPr>
                <w:rtl/>
                <w:lang w:bidi="ar-LY"/>
              </w:rPr>
              <w:t>Chemistr</w:t>
            </w:r>
            <w:proofErr w:type="spellEnd"/>
            <w:r>
              <w:rPr>
                <w:lang w:bidi="ar-LY"/>
              </w:rPr>
              <w:t>y</w:t>
            </w:r>
          </w:p>
        </w:tc>
      </w:tr>
      <w:tr w:rsidR="00270A63" w14:paraId="60404370" w14:textId="77777777">
        <w:tc>
          <w:tcPr>
            <w:tcW w:w="780" w:type="dxa"/>
            <w:shd w:val="clear" w:color="auto" w:fill="D9D9D9"/>
          </w:tcPr>
          <w:p w14:paraId="431415A2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748EC4C2" w14:textId="77777777" w:rsidR="00270A63" w:rsidRDefault="00C70D9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241F4FAC" w14:textId="77777777" w:rsidR="00270A63" w:rsidRDefault="00C70D9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MLT255</w:t>
            </w:r>
          </w:p>
        </w:tc>
      </w:tr>
      <w:tr w:rsidR="00270A63" w14:paraId="750C603B" w14:textId="77777777">
        <w:tc>
          <w:tcPr>
            <w:tcW w:w="780" w:type="dxa"/>
            <w:shd w:val="clear" w:color="auto" w:fill="D9D9D9"/>
          </w:tcPr>
          <w:p w14:paraId="1C68043E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5D778F38" w14:textId="77777777" w:rsidR="00270A63" w:rsidRDefault="00C70D9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4EBE493C" w14:textId="77777777" w:rsidR="00270A63" w:rsidRDefault="00270A63">
            <w:pPr>
              <w:jc w:val="center"/>
              <w:rPr>
                <w:rtl/>
                <w:lang w:bidi="ar-LY"/>
              </w:rPr>
            </w:pPr>
          </w:p>
        </w:tc>
      </w:tr>
      <w:tr w:rsidR="00270A63" w14:paraId="71499A22" w14:textId="77777777">
        <w:tc>
          <w:tcPr>
            <w:tcW w:w="780" w:type="dxa"/>
            <w:shd w:val="clear" w:color="auto" w:fill="D9D9D9"/>
          </w:tcPr>
          <w:p w14:paraId="76D4A4AD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56BE7AC1" w14:textId="77777777" w:rsidR="00270A63" w:rsidRDefault="00C70D9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4782C55" w14:textId="77777777" w:rsidR="00270A63" w:rsidRDefault="00C70D97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</w:t>
            </w:r>
            <w:r>
              <w:rPr>
                <w:lang w:bidi="ar-LY"/>
              </w:rPr>
              <w:t xml:space="preserve"> Medical Laboratories</w:t>
            </w:r>
          </w:p>
        </w:tc>
      </w:tr>
      <w:tr w:rsidR="00270A63" w14:paraId="28E6D257" w14:textId="77777777">
        <w:tc>
          <w:tcPr>
            <w:tcW w:w="780" w:type="dxa"/>
            <w:shd w:val="clear" w:color="auto" w:fill="D9D9D9"/>
          </w:tcPr>
          <w:p w14:paraId="2FAB01B7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4E6D8A98" w14:textId="77777777" w:rsidR="00270A63" w:rsidRDefault="00C70D9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5B6ABD23" w14:textId="77777777" w:rsidR="00270A63" w:rsidRDefault="00C70D9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</w:t>
            </w:r>
          </w:p>
        </w:tc>
      </w:tr>
      <w:tr w:rsidR="00270A63" w14:paraId="7214E848" w14:textId="77777777">
        <w:tc>
          <w:tcPr>
            <w:tcW w:w="780" w:type="dxa"/>
            <w:shd w:val="clear" w:color="auto" w:fill="D9D9D9"/>
          </w:tcPr>
          <w:p w14:paraId="3A20194A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7C7702DF" w14:textId="77777777" w:rsidR="00270A63" w:rsidRDefault="00C70D9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</w:t>
            </w:r>
            <w:r>
              <w:rPr>
                <w:rFonts w:ascii="Arial" w:hAnsi="Arial" w:cs="AL-Mateen" w:hint="cs"/>
                <w:rtl/>
                <w:lang w:bidi="ar-LY"/>
              </w:rPr>
              <w:t>/الوحدات</w:t>
            </w:r>
            <w:r>
              <w:rPr>
                <w:rFonts w:ascii="Arial" w:hAnsi="Arial" w:cs="AL-Mateen" w:hint="cs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7CB620CA" w14:textId="77777777" w:rsidR="00270A63" w:rsidRDefault="00C70D9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270A63" w14:paraId="19B41B8A" w14:textId="77777777">
        <w:tc>
          <w:tcPr>
            <w:tcW w:w="780" w:type="dxa"/>
            <w:shd w:val="clear" w:color="auto" w:fill="D9D9D9"/>
          </w:tcPr>
          <w:p w14:paraId="271FF896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109051A9" w14:textId="77777777" w:rsidR="00270A63" w:rsidRDefault="00C70D9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 xml:space="preserve">اللغة المستخدمة في العملية </w:t>
            </w:r>
            <w:r>
              <w:rPr>
                <w:rFonts w:ascii="Arial" w:hAnsi="Arial" w:cs="AL-Mateen"/>
                <w:rtl/>
                <w:lang w:bidi="ar-LY"/>
              </w:rPr>
              <w:t>التعليمية</w:t>
            </w:r>
          </w:p>
        </w:tc>
        <w:tc>
          <w:tcPr>
            <w:tcW w:w="4329" w:type="dxa"/>
            <w:shd w:val="clear" w:color="auto" w:fill="auto"/>
          </w:tcPr>
          <w:p w14:paraId="0B997898" w14:textId="77777777" w:rsidR="00270A63" w:rsidRDefault="00C70D9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270A63" w14:paraId="7D40758E" w14:textId="77777777">
        <w:tc>
          <w:tcPr>
            <w:tcW w:w="780" w:type="dxa"/>
            <w:shd w:val="clear" w:color="auto" w:fill="D9D9D9"/>
          </w:tcPr>
          <w:p w14:paraId="2D913914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374773BB" w14:textId="77777777" w:rsidR="00270A63" w:rsidRDefault="00C70D9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4B2FA101" w14:textId="77777777" w:rsidR="00270A63" w:rsidRDefault="00C70D9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Fifth</w:t>
            </w:r>
            <w:r>
              <w:rPr>
                <w:lang w:bidi="ar-LY"/>
              </w:rPr>
              <w:t xml:space="preserve"> Semester</w:t>
            </w:r>
          </w:p>
        </w:tc>
      </w:tr>
      <w:tr w:rsidR="00270A63" w14:paraId="50C4A283" w14:textId="77777777">
        <w:tc>
          <w:tcPr>
            <w:tcW w:w="780" w:type="dxa"/>
            <w:shd w:val="clear" w:color="auto" w:fill="D9D9D9"/>
          </w:tcPr>
          <w:p w14:paraId="2CEAD2C1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7A40DDB" w14:textId="77777777" w:rsidR="00270A63" w:rsidRDefault="00C70D97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7BB458EE" w14:textId="77777777" w:rsidR="00270A63" w:rsidRDefault="00C70D97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229B65C4" w14:textId="77777777" w:rsidR="00270A63" w:rsidRDefault="00270A63">
      <w:pPr>
        <w:rPr>
          <w:rFonts w:ascii="Arial" w:hAnsi="Arial" w:cs="Arial"/>
          <w:rtl/>
          <w:lang w:bidi="ar-LY"/>
        </w:rPr>
      </w:pPr>
    </w:p>
    <w:p w14:paraId="3E9BD271" w14:textId="77777777" w:rsidR="00270A63" w:rsidRDefault="00C70D97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7AE50267" w14:textId="77777777" w:rsidR="00270A63" w:rsidRDefault="00C70D97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3FC37" wp14:editId="192F93A3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F33459" w14:textId="77777777" w:rsidR="00270A63" w:rsidRDefault="00C70D9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3FC37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9F33459" w14:textId="77777777" w:rsidR="00270A63" w:rsidRDefault="00C70D9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E9A22F4" w14:textId="77777777" w:rsidR="00270A63" w:rsidRDefault="00C70D97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F9CE5" wp14:editId="1072DE60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768006" w14:textId="77777777" w:rsidR="00270A63" w:rsidRDefault="00C70D97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F9CE5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E768006" w14:textId="77777777" w:rsidR="00270A63" w:rsidRDefault="00C70D97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9D2E8" wp14:editId="56ACD370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D7258" id="مستطيل 32" o:spid="_x0000_s1026" style="position:absolute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0NlAIAAFQ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862A1" wp14:editId="712C8663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BB83AA" w14:textId="77777777" w:rsidR="00270A63" w:rsidRDefault="00C70D9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862A1" id="مستطيل 30" o:spid="_x0000_s1028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InU57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CBB83AA" w14:textId="77777777" w:rsidR="00270A63" w:rsidRDefault="00C70D9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3A3BB618" w14:textId="77777777" w:rsidR="00270A63" w:rsidRDefault="00C70D97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270A63" w14:paraId="65A5F174" w14:textId="77777777">
        <w:tc>
          <w:tcPr>
            <w:tcW w:w="1525" w:type="dxa"/>
            <w:shd w:val="clear" w:color="auto" w:fill="EEECE1"/>
          </w:tcPr>
          <w:p w14:paraId="1FC58D30" w14:textId="77777777" w:rsidR="00270A63" w:rsidRDefault="00C70D9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78C63570" w14:textId="77777777" w:rsidR="00270A63" w:rsidRDefault="00270A63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66FD0312" w14:textId="77777777" w:rsidR="00270A63" w:rsidRDefault="00C70D9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136BAD46" w14:textId="77777777" w:rsidR="00270A63" w:rsidRDefault="00C70D9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24E300D7" w14:textId="77777777" w:rsidR="00270A63" w:rsidRDefault="00C70D9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33A40A9A" w14:textId="77777777" w:rsidR="00270A63" w:rsidRDefault="00270A63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37378F43" w14:textId="77777777" w:rsidR="00270A63" w:rsidRDefault="00C70D9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697FC498" w14:textId="77777777" w:rsidR="00270A63" w:rsidRDefault="00270A63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2A2CE11C" w14:textId="77777777" w:rsidR="00270A63" w:rsidRDefault="00270A63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6C4AD37" w14:textId="77777777" w:rsidR="00270A63" w:rsidRDefault="00270A63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235D9BF" w14:textId="77777777" w:rsidR="00270A63" w:rsidRDefault="00C70D97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36EF21CB" w14:textId="77777777" w:rsidR="00270A63" w:rsidRDefault="00270A63">
      <w:pPr>
        <w:jc w:val="right"/>
        <w:rPr>
          <w:rFonts w:eastAsia="Segoe UI"/>
          <w:color w:val="0F1115"/>
          <w:shd w:val="clear" w:color="auto" w:fill="FFFFFF"/>
        </w:rPr>
      </w:pPr>
    </w:p>
    <w:p w14:paraId="0EF04570" w14:textId="77777777" w:rsidR="00270A63" w:rsidRDefault="00C70D9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1-</w:t>
      </w:r>
      <w:r>
        <w:rPr>
          <w:rFonts w:eastAsia="Segoe UI"/>
          <w:color w:val="0F1115"/>
          <w:shd w:val="clear" w:color="auto" w:fill="FFFFFF"/>
        </w:rPr>
        <w:t>Explain the principles and methodologies of clinical chemistry tests used in diagnosis, monitoring, and treatment of disease.</w:t>
      </w:r>
    </w:p>
    <w:p w14:paraId="32A48140" w14:textId="77777777" w:rsidR="00270A63" w:rsidRDefault="00C70D9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2-</w:t>
      </w:r>
      <w:r>
        <w:rPr>
          <w:rFonts w:eastAsia="Segoe UI"/>
          <w:color w:val="0F1115"/>
          <w:shd w:val="clear" w:color="auto" w:fill="FFFFFF"/>
        </w:rPr>
        <w:t xml:space="preserve">Perform quantitative analysis of clinically significant </w:t>
      </w:r>
      <w:r>
        <w:rPr>
          <w:rFonts w:eastAsia="Segoe UI"/>
          <w:color w:val="0F1115"/>
          <w:shd w:val="clear" w:color="auto" w:fill="FFFFFF"/>
        </w:rPr>
        <w:t>analytes in body fluids using manual and automated techniques.</w:t>
      </w:r>
    </w:p>
    <w:p w14:paraId="6BFF4A7D" w14:textId="77777777" w:rsidR="00270A63" w:rsidRDefault="00C70D9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3-</w:t>
      </w:r>
      <w:r>
        <w:rPr>
          <w:rFonts w:eastAsia="Segoe UI"/>
          <w:color w:val="0F1115"/>
          <w:shd w:val="clear" w:color="auto" w:fill="FFFFFF"/>
        </w:rPr>
        <w:t>Interpret laboratory data in the context of organ function, pathophysiology, and patient clinical presentation.</w:t>
      </w:r>
    </w:p>
    <w:p w14:paraId="3BD9A03C" w14:textId="77777777" w:rsidR="00270A63" w:rsidRDefault="00C70D9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4-</w:t>
      </w:r>
      <w:r>
        <w:rPr>
          <w:rFonts w:eastAsia="Segoe UI"/>
          <w:color w:val="0F1115"/>
          <w:shd w:val="clear" w:color="auto" w:fill="FFFFFF"/>
        </w:rPr>
        <w:t xml:space="preserve">Apply quality control and assurance protocols to ensure accuracy, precision, </w:t>
      </w:r>
      <w:r>
        <w:rPr>
          <w:rFonts w:eastAsia="Segoe UI"/>
          <w:color w:val="0F1115"/>
          <w:shd w:val="clear" w:color="auto" w:fill="FFFFFF"/>
        </w:rPr>
        <w:t>and reliability of clinical chemistry results.</w:t>
      </w:r>
    </w:p>
    <w:p w14:paraId="26E4FD55" w14:textId="77777777" w:rsidR="00270A63" w:rsidRDefault="00C70D97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5-</w:t>
      </w:r>
      <w:r>
        <w:rPr>
          <w:rFonts w:eastAsia="Segoe UI"/>
          <w:color w:val="0F1115"/>
          <w:shd w:val="clear" w:color="auto" w:fill="FFFFFF"/>
        </w:rPr>
        <w:t>Correlate clinical chemistry findings with specific disease states and understand their therapeutic implications.</w:t>
      </w:r>
    </w:p>
    <w:p w14:paraId="39D7700F" w14:textId="77777777" w:rsidR="00270A63" w:rsidRDefault="00270A63">
      <w:pPr>
        <w:jc w:val="right"/>
        <w:rPr>
          <w:rFonts w:eastAsia="Segoe UI"/>
          <w:color w:val="0F1115"/>
          <w:shd w:val="clear" w:color="auto" w:fill="FFFFFF"/>
        </w:rPr>
      </w:pPr>
    </w:p>
    <w:p w14:paraId="18F2C28C" w14:textId="77777777" w:rsidR="00270A63" w:rsidRDefault="00270A63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341E3932" w14:textId="77777777" w:rsidR="00270A63" w:rsidRDefault="00270A63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0684FFD2" w14:textId="77777777" w:rsidR="00270A63" w:rsidRDefault="00C70D97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p w14:paraId="3756C7CC" w14:textId="77777777" w:rsidR="00270A63" w:rsidRDefault="00270A63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173BB2E8" w14:textId="77777777" w:rsidR="00270A63" w:rsidRDefault="00270A63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684B20EE" w14:textId="77777777" w:rsidR="00270A63" w:rsidRDefault="00C70D97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lastRenderedPageBreak/>
        <w:t>3. Intended Learning Outcomes (ILOs)</w:t>
      </w:r>
    </w:p>
    <w:p w14:paraId="253B4293" w14:textId="77777777" w:rsidR="00270A63" w:rsidRDefault="00C70D97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A. Knowledge and Understanding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7836"/>
      </w:tblGrid>
      <w:tr w:rsidR="00270A63" w14:paraId="0096AB1A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75BB65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A30228" w14:textId="77777777" w:rsidR="00270A63" w:rsidRDefault="00C70D9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270A63" w14:paraId="5424BDDE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2EAD82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A.1</w:t>
            </w:r>
          </w:p>
        </w:tc>
        <w:tc>
          <w:tcPr>
            <w:tcW w:w="78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C31C63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Describe the principles of analytical methods used in clinical chemistry (spectrophotometry, electrophoresis, immunoassays, etc.).</w:t>
            </w:r>
          </w:p>
        </w:tc>
      </w:tr>
      <w:tr w:rsidR="00270A63" w14:paraId="33D2BD8E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94E32D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A.2</w:t>
            </w:r>
          </w:p>
        </w:tc>
        <w:tc>
          <w:tcPr>
            <w:tcW w:w="78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DBF856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Explain the metabolism and physiological role of key analytes (glucose, proteins, lipids, enzymes,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electrolytes, hormones).</w:t>
            </w:r>
          </w:p>
        </w:tc>
      </w:tr>
      <w:tr w:rsidR="00270A63" w14:paraId="20786D58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BEC0E9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A.3</w:t>
            </w:r>
          </w:p>
        </w:tc>
        <w:tc>
          <w:tcPr>
            <w:tcW w:w="78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FB79B1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Outline the pathophysiological basis for changes in analyte concentrations in various disease states.</w:t>
            </w:r>
          </w:p>
        </w:tc>
      </w:tr>
      <w:tr w:rsidR="00270A63" w14:paraId="010036CD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078DFA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A.4</w:t>
            </w:r>
          </w:p>
        </w:tc>
        <w:tc>
          <w:tcPr>
            <w:tcW w:w="78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DE94D4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Identify the sources of pre-analytical, analytical, and post-analytical errors in clinical chemistry testing.</w:t>
            </w:r>
          </w:p>
        </w:tc>
      </w:tr>
      <w:tr w:rsidR="00270A63" w14:paraId="53A31626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430947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A.5</w:t>
            </w:r>
          </w:p>
        </w:tc>
        <w:tc>
          <w:tcPr>
            <w:tcW w:w="78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C7A21E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Reca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ll reference ranges, units of measurement, and clinical significance of major chemistry analytes.</w:t>
            </w:r>
          </w:p>
        </w:tc>
      </w:tr>
    </w:tbl>
    <w:p w14:paraId="32959B8D" w14:textId="77777777" w:rsidR="00270A63" w:rsidRDefault="00270A63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307D51B5" w14:textId="77777777" w:rsidR="00270A63" w:rsidRDefault="00C70D97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Fonts w:asciiTheme="majorBidi" w:hAnsiTheme="majorBidi" w:cstheme="majorBidi" w:hint="default"/>
          <w:sz w:val="28"/>
          <w:szCs w:val="28"/>
          <w:lang w:bidi="ar-LY"/>
        </w:rPr>
        <w:t xml:space="preserve">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B. Mental Skills</w:t>
      </w:r>
    </w:p>
    <w:tbl>
      <w:tblPr>
        <w:tblW w:w="8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7862"/>
      </w:tblGrid>
      <w:tr w:rsidR="00270A63" w14:paraId="46142298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B44C4B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786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DFB448" w14:textId="77777777" w:rsidR="00270A63" w:rsidRDefault="00C70D9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270A63" w14:paraId="78D0D38F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800567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B.1</w:t>
            </w:r>
          </w:p>
        </w:tc>
        <w:tc>
          <w:tcPr>
            <w:tcW w:w="786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5BEE47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Calculate analyte concentrations using standard curves, calibrations, and dilution factors.</w:t>
            </w:r>
          </w:p>
        </w:tc>
      </w:tr>
      <w:tr w:rsidR="00270A63" w14:paraId="538E36CC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5116DF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B.2</w:t>
            </w:r>
          </w:p>
        </w:tc>
        <w:tc>
          <w:tcPr>
            <w:tcW w:w="786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E76805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Analyze and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interpret panels of clinical chemistry results to suggest possible diagnoses.</w:t>
            </w:r>
          </w:p>
        </w:tc>
      </w:tr>
      <w:tr w:rsidR="00270A63" w14:paraId="33352FE6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D905AE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B.3</w:t>
            </w:r>
          </w:p>
        </w:tc>
        <w:tc>
          <w:tcPr>
            <w:tcW w:w="786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BBA852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Evaluate the validity of test results using internal quality control data and Levy-Jennings charts.</w:t>
            </w:r>
          </w:p>
        </w:tc>
      </w:tr>
      <w:tr w:rsidR="00270A63" w14:paraId="1DFDB94E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7B69CB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B.4</w:t>
            </w:r>
          </w:p>
        </w:tc>
        <w:tc>
          <w:tcPr>
            <w:tcW w:w="786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963F0E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Correlate abnormal chemistry profiles with dysfunction of specific o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rgan systems.</w:t>
            </w:r>
          </w:p>
        </w:tc>
      </w:tr>
      <w:tr w:rsidR="00270A63" w14:paraId="3DBAE3C6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BAA82C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B.5</w:t>
            </w:r>
          </w:p>
        </w:tc>
        <w:tc>
          <w:tcPr>
            <w:tcW w:w="786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D27AB8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Troubleshoot unexpected results or instrument flags in clinical chemistry assays.</w:t>
            </w:r>
          </w:p>
        </w:tc>
      </w:tr>
    </w:tbl>
    <w:p w14:paraId="45C0F161" w14:textId="77777777" w:rsidR="00270A63" w:rsidRDefault="00270A6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</w:p>
    <w:p w14:paraId="15F8F6E6" w14:textId="77777777" w:rsidR="00270A63" w:rsidRDefault="00C70D97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lastRenderedPageBreak/>
        <w:t>C. Practical and Professional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7836"/>
      </w:tblGrid>
      <w:tr w:rsidR="00270A63" w14:paraId="3C360E71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24952C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7B74A1" w14:textId="77777777" w:rsidR="00270A63" w:rsidRDefault="00C70D9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270A63" w14:paraId="7EF70840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D4E99C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C.1</w:t>
            </w:r>
          </w:p>
        </w:tc>
        <w:tc>
          <w:tcPr>
            <w:tcW w:w="78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12B003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Perform accurate pipetting, preparation of calibrators, controls, and patient samples.</w:t>
            </w:r>
          </w:p>
        </w:tc>
      </w:tr>
      <w:tr w:rsidR="00270A63" w14:paraId="65FC938F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048E8C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C.2</w:t>
            </w:r>
          </w:p>
        </w:tc>
        <w:tc>
          <w:tcPr>
            <w:tcW w:w="78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DD75C9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Operate and perform basic maintenance on automated chemistry analyzers and semi-automated instruments.</w:t>
            </w:r>
          </w:p>
        </w:tc>
      </w:tr>
      <w:tr w:rsidR="00270A63" w14:paraId="3EE2F272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B5B23D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C.3</w:t>
            </w:r>
          </w:p>
        </w:tc>
        <w:tc>
          <w:tcPr>
            <w:tcW w:w="78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83871B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Conduct manual and automated assays for key analytes (glucose, urea, creatinine, enzymes, etc.).</w:t>
            </w:r>
          </w:p>
        </w:tc>
      </w:tr>
      <w:tr w:rsidR="00270A63" w14:paraId="4C9723B5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7BDEE0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C.4</w:t>
            </w:r>
          </w:p>
        </w:tc>
        <w:tc>
          <w:tcPr>
            <w:tcW w:w="78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21FA95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Apply quality control procedures and document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results appropriately.</w:t>
            </w:r>
          </w:p>
        </w:tc>
      </w:tr>
      <w:tr w:rsidR="00270A63" w14:paraId="0BB36C2B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41C113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C.5</w:t>
            </w:r>
          </w:p>
        </w:tc>
        <w:tc>
          <w:tcPr>
            <w:tcW w:w="78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98EC70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Adhere to laboratory safety protocols and standard operating procedures (SOPs).</w:t>
            </w:r>
          </w:p>
        </w:tc>
      </w:tr>
    </w:tbl>
    <w:p w14:paraId="7D495B2D" w14:textId="77777777" w:rsidR="00270A63" w:rsidRDefault="00270A6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</w:p>
    <w:p w14:paraId="023BB7FA" w14:textId="77777777" w:rsidR="00270A63" w:rsidRDefault="00C70D97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D. General and Transferable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7650"/>
      </w:tblGrid>
      <w:tr w:rsidR="00270A63" w14:paraId="5991ADDA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0D9137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88C8F1" w14:textId="77777777" w:rsidR="00270A63" w:rsidRDefault="00C70D97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270A63" w14:paraId="667FEFAF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C7580A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D.1</w:t>
            </w:r>
          </w:p>
        </w:tc>
        <w:tc>
          <w:tcPr>
            <w:tcW w:w="76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895B4A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Communicate laboratory findings and their potential clinical implications clearly in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written reports.</w:t>
            </w:r>
          </w:p>
        </w:tc>
      </w:tr>
      <w:tr w:rsidR="00270A63" w14:paraId="0625B6D3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1B098E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D.2</w:t>
            </w:r>
          </w:p>
        </w:tc>
        <w:tc>
          <w:tcPr>
            <w:tcW w:w="76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4A6588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Collaborate effectively in a laboratory team to process samples and manage workflow.</w:t>
            </w:r>
          </w:p>
        </w:tc>
      </w:tr>
      <w:tr w:rsidR="00270A63" w14:paraId="11DDB043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E37AC4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D.3</w:t>
            </w:r>
          </w:p>
        </w:tc>
        <w:tc>
          <w:tcPr>
            <w:tcW w:w="76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E9A14D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Utilize laboratory information systems (LIS) and reference materials to verify and report results.</w:t>
            </w:r>
          </w:p>
        </w:tc>
      </w:tr>
      <w:tr w:rsidR="00270A63" w14:paraId="396A1C46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BFB10B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D.4</w:t>
            </w:r>
          </w:p>
        </w:tc>
        <w:tc>
          <w:tcPr>
            <w:tcW w:w="76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F79709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Apply critical thinking to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resolve discrepancies and ensure result accuracy.</w:t>
            </w:r>
          </w:p>
        </w:tc>
      </w:tr>
      <w:tr w:rsidR="00270A63" w14:paraId="18C5E1BE" w14:textId="77777777">
        <w:tc>
          <w:tcPr>
            <w:tcW w:w="71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CB6CDE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D.5</w:t>
            </w:r>
          </w:p>
        </w:tc>
        <w:tc>
          <w:tcPr>
            <w:tcW w:w="76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1C4668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Demonstrate professionalism, attention to detail, and ethical conduct in handling patient data.</w:t>
            </w:r>
          </w:p>
        </w:tc>
      </w:tr>
    </w:tbl>
    <w:p w14:paraId="7A720751" w14:textId="77777777" w:rsidR="00270A63" w:rsidRDefault="00270A6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</w:p>
    <w:p w14:paraId="038FB1B4" w14:textId="77777777" w:rsidR="00270A63" w:rsidRDefault="00270A6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</w:p>
    <w:p w14:paraId="3AA102DC" w14:textId="77777777" w:rsidR="00270A63" w:rsidRDefault="00270A6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</w:p>
    <w:p w14:paraId="4DF77BCD" w14:textId="77777777" w:rsidR="00270A63" w:rsidRDefault="00270A6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</w:p>
    <w:p w14:paraId="2A55450F" w14:textId="77777777" w:rsidR="00270A63" w:rsidRDefault="00C70D97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</w:rPr>
        <w:lastRenderedPageBreak/>
        <w:t>4. Course Contents (Weekly Schedule - 16 Weeks)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3024"/>
        <w:gridCol w:w="3173"/>
        <w:gridCol w:w="1406"/>
      </w:tblGrid>
      <w:tr w:rsidR="00270A63" w14:paraId="02993D78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472545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6D9338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Theory Topics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B5AC4C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Practical / Lab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Work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9FE176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Total Weekly Hours</w:t>
            </w:r>
          </w:p>
        </w:tc>
      </w:tr>
      <w:tr w:rsidR="00270A63" w14:paraId="4CF8A64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D7D0A7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6C6905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Introduction to Clinical Chemistry: Lab Organization, Safety &amp; Automation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05A0D6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Laboratory Safety, Pipetting Techniques &amp; Introduction to Analyzers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F7F82D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70A63" w14:paraId="4B263BA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10842D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ABB8FE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Principles of Analytical Methods &amp;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Instrumentation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E4D1D8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Spectrophotometry: Calibration &amp; Verification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53490D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70A63" w14:paraId="7EF6FDA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CC78C0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411EDE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Carbohydrates: Metabolism, Disorders &amp; Glucose Analysis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49D834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Glucose Estimation: Manual (GOD-POD) &amp; Automated Methods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F82D84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70A63" w14:paraId="0857257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6D4A80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D00D1B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Proteins &amp; Amino Acids: Analysis &amp; Clinical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Significance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93A144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Total Protein &amp; Albumin Estimation (Biuret, BCG)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9EB373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70A63" w14:paraId="7F9211F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44DBD0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B17A06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Lipids &amp; Lipoprotein Metabolism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A3329E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Cholesterol &amp; Triglyceride Estimation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D98362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70A63" w14:paraId="7378D8E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C899AF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BC9DC6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Enzymes: Kinetics, Isoenzymes &amp; Cardiac Biomarkers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FD8E8C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Assay of ALT, AST, ALP, CK &amp; LDH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524DA0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70A63" w14:paraId="6AB241C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24FCD6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049A7F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Electrolytes, Acid-Base &amp; Blood Gas Balance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A7E49D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Estimation of Na+, K+, Cl- &amp; TCO₂; pH Measurement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FA12DB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70A63" w14:paraId="5ECB6BF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91A663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A907EC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A1A80D" w14:textId="77777777" w:rsidR="00270A63" w:rsidRDefault="00270A63">
            <w:pPr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B8C0DC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270A63" w14:paraId="2B1378A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FAF8B1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237D17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Renal Function Tests: Urea, Creatinine, Clearance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828638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Estimation of Urea &amp; Creatinine; Calculation of eGFR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63C1ED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70A63" w14:paraId="444DD49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0982BB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Week 10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E8F967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Liver Function Tests &amp; Bilirubin Metabolism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B4CA79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Total, Direct &amp; Indirect Bilirubin Assay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C846B7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70A63" w14:paraId="6F9EC19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E267B8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B1F222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Calcium, Phosphate &amp; Bone Metabolism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A2D898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Estimation of Serum Calcium &amp; Phosphorus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5C1BAE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70A63" w14:paraId="50CEF01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75C6D3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5967FE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Endocrinology: Thyroid, Adrenal &amp; Pituitary Function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F73EDD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Principles of Immunoassay &amp; Hormone Testing (Demo)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33519E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70A63" w14:paraId="18CE7DA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DE80F2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0599C8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Therapeutic Drug Monitoring &amp; Toxicology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E96DA5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Case Studies on Drug Levels &amp; Common Toxins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1FFA34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70A63" w14:paraId="268B3F9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B629B5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6AE2A4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Quality Assurance &amp; Lab Information Systems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8577E8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QC Chart Preparation &amp; Analysis; LIS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Navigation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55E051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70A63" w14:paraId="0EE7BE1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137E97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EC2E90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Integration: Case Studies &amp; Critical Value Management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C31DA1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Comprehensive Patient Profile Analysis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54A918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270A63" w14:paraId="04F3161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740697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2DBC53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Examinations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9EA487" w14:textId="77777777" w:rsidR="00270A63" w:rsidRDefault="00270A63">
            <w:pPr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1AA9DB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270A63" w14:paraId="6A63523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A360E5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C92AA7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Theory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60D15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Practical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E08BE3" w14:textId="77777777" w:rsidR="00270A63" w:rsidRDefault="00C70D97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64 Hours</w:t>
            </w:r>
          </w:p>
        </w:tc>
      </w:tr>
    </w:tbl>
    <w:p w14:paraId="7F55DE25" w14:textId="77777777" w:rsidR="00270A63" w:rsidRDefault="00270A63">
      <w:pPr>
        <w:jc w:val="right"/>
      </w:pPr>
    </w:p>
    <w:p w14:paraId="1C382D4D" w14:textId="77777777" w:rsidR="00270A63" w:rsidRDefault="00C70D97">
      <w:pPr>
        <w:spacing w:line="360" w:lineRule="auto"/>
        <w:jc w:val="right"/>
        <w:rPr>
          <w:b/>
          <w:bCs/>
        </w:rPr>
      </w:pPr>
      <w:r>
        <w:rPr>
          <w:rStyle w:val="Strong"/>
          <w:rFonts w:eastAsia="Segoe UI"/>
          <w:color w:val="0F1115"/>
          <w:sz w:val="30"/>
          <w:szCs w:val="30"/>
          <w:shd w:val="clear" w:color="auto" w:fill="FFFFFF"/>
        </w:rPr>
        <w:t xml:space="preserve"> </w:t>
      </w:r>
    </w:p>
    <w:p w14:paraId="322EA031" w14:textId="77777777" w:rsidR="00270A63" w:rsidRDefault="00C70D97">
      <w:pPr>
        <w:spacing w:line="360" w:lineRule="auto"/>
        <w:jc w:val="right"/>
      </w:pPr>
      <w:r>
        <w:rPr>
          <w:b/>
          <w:bCs/>
        </w:rPr>
        <w:t>5. Teaching and Learning Methods</w:t>
      </w:r>
    </w:p>
    <w:p w14:paraId="41C43AA3" w14:textId="77777777" w:rsidR="00270A63" w:rsidRDefault="00C70D97">
      <w:pPr>
        <w:spacing w:line="360" w:lineRule="auto"/>
        <w:jc w:val="right"/>
      </w:pPr>
      <w:r>
        <w:t>Interactive Lectures: Using case presentations, data interpretation, and problem-based learning.</w:t>
      </w:r>
    </w:p>
    <w:p w14:paraId="200A59F5" w14:textId="77777777" w:rsidR="00270A63" w:rsidRDefault="00C70D97">
      <w:pPr>
        <w:spacing w:line="360" w:lineRule="auto"/>
        <w:jc w:val="right"/>
      </w:pPr>
      <w:r>
        <w:t>Hands-On Laboratory Sessions: Training on both manual methods and automated analyzers using simulated patient samples.</w:t>
      </w:r>
    </w:p>
    <w:p w14:paraId="4829BE35" w14:textId="77777777" w:rsidR="00270A63" w:rsidRDefault="00C70D97">
      <w:pPr>
        <w:spacing w:line="360" w:lineRule="auto"/>
        <w:jc w:val="right"/>
      </w:pPr>
      <w:r>
        <w:t xml:space="preserve">Case-Based Learning </w:t>
      </w:r>
      <w:r>
        <w:t>(CBL): Analysis of patient histories with accompanying lab data to develop diagnostic reasoning.</w:t>
      </w:r>
    </w:p>
    <w:p w14:paraId="0472C58F" w14:textId="77777777" w:rsidR="00270A63" w:rsidRDefault="00C70D97">
      <w:pPr>
        <w:spacing w:line="360" w:lineRule="auto"/>
        <w:jc w:val="right"/>
      </w:pPr>
      <w:r>
        <w:lastRenderedPageBreak/>
        <w:t>Demonstrations: Live or video demonstrations of advanced instrumentation and techniques.</w:t>
      </w:r>
    </w:p>
    <w:p w14:paraId="4211AB4F" w14:textId="77777777" w:rsidR="00270A63" w:rsidRDefault="00C70D97">
      <w:pPr>
        <w:spacing w:line="360" w:lineRule="auto"/>
        <w:jc w:val="right"/>
      </w:pPr>
      <w:r>
        <w:t>Workshops: Calculation workshops for calibration, QC statistics, and r</w:t>
      </w:r>
      <w:r>
        <w:t>enal/hepatic indices.</w:t>
      </w:r>
    </w:p>
    <w:p w14:paraId="3AE5BD8E" w14:textId="77777777" w:rsidR="00270A63" w:rsidRDefault="00C70D97">
      <w:pPr>
        <w:spacing w:line="360" w:lineRule="auto"/>
        <w:jc w:val="right"/>
      </w:pPr>
      <w:r>
        <w:t>Virtual Simulations: Use of online platforms for analyzer operation and troubleshooting.</w:t>
      </w:r>
    </w:p>
    <w:p w14:paraId="1AA5D1D8" w14:textId="77777777" w:rsidR="00270A63" w:rsidRDefault="00C70D97">
      <w:pPr>
        <w:spacing w:line="360" w:lineRule="auto"/>
        <w:jc w:val="right"/>
        <w:rPr>
          <w:rFonts w:ascii="Segoe UI" w:eastAsia="Segoe UI" w:hAnsi="Segoe UI" w:cs="Segoe UI"/>
        </w:rPr>
      </w:pPr>
      <w:r>
        <w:t>E-Learning Resources: Access to online databases of reference ranges, clinical guidelines, and procedure videos.</w:t>
      </w:r>
    </w:p>
    <w:p w14:paraId="66701C77" w14:textId="77777777" w:rsidR="00270A63" w:rsidRDefault="00270A63">
      <w:pPr>
        <w:wordWrap w:val="0"/>
        <w:rPr>
          <w:b/>
          <w:bCs/>
          <w:lang w:bidi="ar-LY"/>
        </w:rPr>
      </w:pPr>
    </w:p>
    <w:p w14:paraId="7600E8A1" w14:textId="77777777" w:rsidR="00270A63" w:rsidRDefault="00C70D97">
      <w:pPr>
        <w:jc w:val="right"/>
        <w:rPr>
          <w:rFonts w:ascii="Segoe UI" w:eastAsia="Segoe UI" w:hAnsi="Segoe UI" w:cs="Segoe UI"/>
          <w:color w:val="0F1115"/>
        </w:rPr>
      </w:pPr>
      <w:r>
        <w:rPr>
          <w:rFonts w:hint="cs"/>
          <w:b/>
          <w:bCs/>
          <w:sz w:val="32"/>
          <w:szCs w:val="32"/>
          <w:rtl/>
          <w:lang w:bidi="ar-LY"/>
        </w:rPr>
        <w:t xml:space="preserve">  </w:t>
      </w:r>
      <w:r>
        <w:rPr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lang w:bidi="ar-LY"/>
        </w:rPr>
        <w:t>6-</w:t>
      </w:r>
      <w:r>
        <w:rPr>
          <w:rStyle w:val="Strong"/>
          <w:rFonts w:eastAsia="Segoe UI"/>
          <w:color w:val="0F1115"/>
          <w:shd w:val="clear" w:color="auto" w:fill="FFFFFF"/>
        </w:rPr>
        <w:t>Assessment Methods</w:t>
      </w:r>
      <w:r>
        <w:rPr>
          <w:rStyle w:val="Strong"/>
          <w:rFonts w:eastAsia="Segoe UI" w:hint="cs"/>
          <w:color w:val="0F1115"/>
          <w:shd w:val="clear" w:color="auto" w:fill="FFFFFF"/>
          <w:rtl/>
          <w:lang w:bidi="ar-LY"/>
        </w:rPr>
        <w:t xml:space="preserve"> </w:t>
      </w:r>
    </w:p>
    <w:p w14:paraId="1BE95BCE" w14:textId="77777777" w:rsidR="00270A63" w:rsidRDefault="00270A63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3659"/>
        <w:gridCol w:w="2381"/>
        <w:gridCol w:w="1165"/>
      </w:tblGrid>
      <w:tr w:rsidR="00270A63" w14:paraId="68DD9AEF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73B64A" w14:textId="77777777" w:rsidR="00270A63" w:rsidRDefault="00C70D97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252787" w14:textId="77777777" w:rsidR="00270A63" w:rsidRDefault="00C70D97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6A1613" w14:textId="77777777" w:rsidR="00270A63" w:rsidRDefault="00C70D97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270A63" w14:paraId="534A0F2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8DC055" w14:textId="77777777" w:rsidR="00270A63" w:rsidRDefault="00C70D9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1839E0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70F44E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593B70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270A63" w14:paraId="01C6F5F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333DDA" w14:textId="77777777" w:rsidR="00270A63" w:rsidRDefault="00C70D9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D8BE5E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0C04C0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1F031B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270A63" w14:paraId="15D57C73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D7697C" w14:textId="77777777" w:rsidR="00270A63" w:rsidRDefault="00C70D9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F6A8F2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BC0FCD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B6F4AD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270A63" w14:paraId="0894EAC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13F4F6" w14:textId="77777777" w:rsidR="00270A63" w:rsidRDefault="00C70D9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A94926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681118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649AD7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270A63" w14:paraId="587A837A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FF580A" w14:textId="77777777" w:rsidR="00270A63" w:rsidRDefault="00C70D9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E1549F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781B33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B8394A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270A63" w14:paraId="36CBCD08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12D6FA" w14:textId="77777777" w:rsidR="00270A63" w:rsidRDefault="00C70D9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CE3818" w14:textId="77777777" w:rsidR="00270A63" w:rsidRDefault="00270A63">
            <w:pPr>
              <w:jc w:val="right"/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4AD38D" w14:textId="77777777" w:rsidR="00270A63" w:rsidRDefault="00270A63">
            <w:pPr>
              <w:jc w:val="right"/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A2921A" w14:textId="77777777" w:rsidR="00270A63" w:rsidRDefault="00C70D97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438580BA" w14:textId="77777777" w:rsidR="00270A63" w:rsidRDefault="00270A63">
      <w:pPr>
        <w:jc w:val="both"/>
        <w:rPr>
          <w:rFonts w:ascii="Arial" w:hAnsi="Arial" w:cs="AL-Mateen"/>
          <w:sz w:val="28"/>
          <w:szCs w:val="28"/>
          <w:rtl/>
        </w:rPr>
      </w:pPr>
    </w:p>
    <w:p w14:paraId="73A82AB8" w14:textId="77777777" w:rsidR="00270A63" w:rsidRDefault="00C70D97">
      <w:pPr>
        <w:jc w:val="right"/>
        <w:rPr>
          <w:rFonts w:ascii="Segoe UI" w:eastAsia="Segoe UI" w:hAnsi="Segoe UI" w:cs="Segoe UI"/>
          <w:color w:val="0F1115"/>
        </w:rPr>
      </w:pP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المراجع والدوريات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 xml:space="preserve"> 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7- 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References and Periodicals</w:t>
      </w:r>
    </w:p>
    <w:p w14:paraId="157BDC2B" w14:textId="77777777" w:rsidR="00270A63" w:rsidRDefault="00270A63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2118"/>
        <w:gridCol w:w="1573"/>
        <w:gridCol w:w="2033"/>
        <w:gridCol w:w="1128"/>
      </w:tblGrid>
      <w:tr w:rsidR="00270A63" w14:paraId="5EC06AE7" w14:textId="777777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BA12E5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Type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73BAA7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CC5BE1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Author(s)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ED9DF5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D183F6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Edition</w:t>
            </w:r>
          </w:p>
        </w:tc>
      </w:tr>
      <w:tr w:rsidR="00270A63" w14:paraId="3E86BC64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D2078C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78415B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proofErr w:type="spellStart"/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Tietz</w:t>
            </w:r>
            <w:proofErr w:type="spellEnd"/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 xml:space="preserve"> Fundamentals of Clinical Chemistry and Molecular Diagnostics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6FFC14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proofErr w:type="spellStart"/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Burtis</w:t>
            </w:r>
            <w:proofErr w:type="spellEnd"/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,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C.A., Bruns, D.E., &amp; Sawyer, B.G.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2651B3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Elsevier Saunders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190FFA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2th</w:t>
            </w:r>
          </w:p>
        </w:tc>
      </w:tr>
      <w:tr w:rsidR="00270A63" w14:paraId="642C0EA8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F6289C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80D22B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 xml:space="preserve">Clinical Chemistry: </w:t>
            </w: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lastRenderedPageBreak/>
              <w:t>Techniques, Principles, Correlations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0BB23B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lastRenderedPageBreak/>
              <w:t xml:space="preserve">Bishop, M.L., </w:t>
            </w:r>
            <w:proofErr w:type="spellStart"/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Fody</w:t>
            </w:r>
            <w:proofErr w:type="spellEnd"/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,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lastRenderedPageBreak/>
              <w:t xml:space="preserve">E.P., &amp; </w:t>
            </w:r>
            <w:proofErr w:type="spellStart"/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Schoeff</w:t>
            </w:r>
            <w:proofErr w:type="spellEnd"/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, L.E.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C16FF5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lastRenderedPageBreak/>
              <w:t xml:space="preserve">Lippincott Williams &amp;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lastRenderedPageBreak/>
              <w:t>Wilkins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F0BA69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lastRenderedPageBreak/>
              <w:t>4th</w:t>
            </w:r>
          </w:p>
        </w:tc>
      </w:tr>
      <w:tr w:rsidR="00270A63" w14:paraId="6925FBA5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3B2BEF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Recommended Journal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112EB1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Clinical Chemistry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38FEFD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9AFCB7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American Association for Clinical Chemistry (AACC)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DDB2ED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-</w:t>
            </w:r>
          </w:p>
        </w:tc>
      </w:tr>
      <w:tr w:rsidR="00270A63" w14:paraId="4EF46F7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33E911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Recommended Journal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81223D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Annals of Clinical Biochemistry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0B821C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8B4110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Association for Clinical Biochemistry and Laboratory Medicine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4BFB4D" w14:textId="77777777" w:rsidR="00270A63" w:rsidRDefault="00C70D97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-</w:t>
            </w:r>
          </w:p>
        </w:tc>
      </w:tr>
    </w:tbl>
    <w:p w14:paraId="12644447" w14:textId="77777777" w:rsidR="00270A63" w:rsidRDefault="00270A63"/>
    <w:p w14:paraId="2B9C25CB" w14:textId="77777777" w:rsidR="00270A63" w:rsidRDefault="00270A63">
      <w:pPr>
        <w:jc w:val="right"/>
        <w:rPr>
          <w:rFonts w:ascii="Arial" w:hAnsi="Arial" w:cs="AL-Mateen"/>
          <w:sz w:val="28"/>
          <w:szCs w:val="28"/>
          <w:rtl/>
        </w:rPr>
      </w:pPr>
    </w:p>
    <w:p w14:paraId="2062B9F6" w14:textId="77777777" w:rsidR="00270A63" w:rsidRDefault="00C70D97">
      <w:pPr>
        <w:jc w:val="right"/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ascii="Arial" w:hAnsi="Arial" w:cs="Arial"/>
          <w:b/>
          <w:bCs/>
          <w:sz w:val="32"/>
          <w:szCs w:val="32"/>
          <w:rtl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8. Facilities and Resources Require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d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 </w:t>
      </w:r>
    </w:p>
    <w:p w14:paraId="0684C459" w14:textId="77777777" w:rsidR="00270A63" w:rsidRDefault="00C70D97">
      <w:pPr>
        <w:spacing w:line="360" w:lineRule="auto"/>
        <w:jc w:val="right"/>
        <w:rPr>
          <w:rtl/>
          <w:lang w:bidi="ar-LY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proofErr w:type="spellStart"/>
      <w:r>
        <w:rPr>
          <w:rtl/>
          <w:lang w:bidi="ar-LY"/>
        </w:rPr>
        <w:t>Lecture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Hall</w:t>
      </w:r>
      <w:proofErr w:type="spellEnd"/>
      <w:r>
        <w:rPr>
          <w:rtl/>
          <w:lang w:bidi="ar-LY"/>
        </w:rPr>
        <w:t>: </w:t>
      </w:r>
      <w:proofErr w:type="spellStart"/>
      <w:r>
        <w:rPr>
          <w:rtl/>
          <w:lang w:bidi="ar-LY"/>
        </w:rPr>
        <w:t>Equipped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multimedia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presentations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of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chemical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concepts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calculations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data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plots</w:t>
      </w:r>
      <w:proofErr w:type="spellEnd"/>
      <w:r>
        <w:rPr>
          <w:rtl/>
          <w:lang w:bidi="ar-LY"/>
        </w:rPr>
        <w:t>.</w:t>
      </w:r>
    </w:p>
    <w:p w14:paraId="2E6D43BA" w14:textId="77777777" w:rsidR="00270A63" w:rsidRDefault="00C70D97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rtl/>
          <w:lang w:bidi="ar-LY"/>
        </w:rPr>
        <w:t>Analytical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Chemistry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Laboratory</w:t>
      </w:r>
      <w:proofErr w:type="spellEnd"/>
      <w:r>
        <w:rPr>
          <w:lang w:bidi="ar-LY"/>
        </w:rPr>
        <w:t xml:space="preserve">: </w:t>
      </w:r>
    </w:p>
    <w:p w14:paraId="30CC15A8" w14:textId="77777777" w:rsidR="00270A63" w:rsidRDefault="00C70D97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rtl/>
          <w:lang w:bidi="ar-LY"/>
        </w:rPr>
        <w:t>Chemical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Stockroom</w:t>
      </w:r>
      <w:proofErr w:type="spellEnd"/>
      <w:r>
        <w:rPr>
          <w:rtl/>
          <w:lang w:bidi="ar-LY"/>
        </w:rPr>
        <w:t>: </w:t>
      </w:r>
      <w:proofErr w:type="spellStart"/>
      <w:r>
        <w:rPr>
          <w:rtl/>
          <w:lang w:bidi="ar-LY"/>
        </w:rPr>
        <w:t>Supplies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of</w:t>
      </w:r>
      <w:proofErr w:type="spellEnd"/>
      <w:r>
        <w:rPr>
          <w:rtl/>
          <w:lang w:bidi="ar-LY"/>
        </w:rPr>
        <w:t xml:space="preserve"> ACS-</w:t>
      </w:r>
      <w:proofErr w:type="spellStart"/>
      <w:r>
        <w:rPr>
          <w:rtl/>
          <w:lang w:bidi="ar-LY"/>
        </w:rPr>
        <w:t>grade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reagents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acids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bases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indicators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primary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standards</w:t>
      </w:r>
      <w:proofErr w:type="spellEnd"/>
    </w:p>
    <w:p w14:paraId="206794C4" w14:textId="77777777" w:rsidR="00270A63" w:rsidRDefault="00C70D97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rtl/>
          <w:lang w:bidi="ar-LY"/>
        </w:rPr>
        <w:t>Virtual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Learning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Environment</w:t>
      </w:r>
      <w:proofErr w:type="spellEnd"/>
      <w:r>
        <w:rPr>
          <w:rtl/>
          <w:lang w:bidi="ar-LY"/>
        </w:rPr>
        <w:t xml:space="preserve"> (VLE): </w:t>
      </w:r>
      <w:proofErr w:type="spellStart"/>
      <w:r>
        <w:rPr>
          <w:rtl/>
          <w:lang w:bidi="ar-LY"/>
        </w:rPr>
        <w:t>For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sharing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protocol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videos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calculation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templates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safety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data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sheets</w:t>
      </w:r>
      <w:proofErr w:type="spellEnd"/>
      <w:r>
        <w:rPr>
          <w:rtl/>
          <w:lang w:bidi="ar-LY"/>
        </w:rPr>
        <w:t xml:space="preserve"> (SDS</w:t>
      </w:r>
      <w:proofErr w:type="gramStart"/>
      <w:r>
        <w:rPr>
          <w:rtl/>
          <w:lang w:bidi="ar-LY"/>
        </w:rPr>
        <w:t>),</w:t>
      </w:r>
      <w:proofErr w:type="gram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sample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datasets</w:t>
      </w:r>
      <w:proofErr w:type="spellEnd"/>
    </w:p>
    <w:p w14:paraId="40C2E8A9" w14:textId="77777777" w:rsidR="00270A63" w:rsidRDefault="00C70D97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rtl/>
          <w:lang w:bidi="ar-LY"/>
        </w:rPr>
        <w:t>Safety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Equipment</w:t>
      </w:r>
      <w:proofErr w:type="spellEnd"/>
      <w:r>
        <w:rPr>
          <w:rtl/>
          <w:lang w:bidi="ar-LY"/>
        </w:rPr>
        <w:t>: </w:t>
      </w:r>
      <w:proofErr w:type="spellStart"/>
      <w:r>
        <w:rPr>
          <w:rtl/>
          <w:lang w:bidi="ar-LY"/>
        </w:rPr>
        <w:t>Eyewash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stations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safety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showers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fire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extinguishers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chemical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spill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kits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appropriate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personal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protective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e</w:t>
      </w:r>
      <w:r>
        <w:rPr>
          <w:rtl/>
          <w:lang w:bidi="ar-LY"/>
        </w:rPr>
        <w:t>quipment</w:t>
      </w:r>
      <w:proofErr w:type="spellEnd"/>
      <w:r>
        <w:rPr>
          <w:rtl/>
          <w:lang w:bidi="ar-LY"/>
        </w:rPr>
        <w:t xml:space="preserve"> (PPE</w:t>
      </w:r>
      <w:r>
        <w:rPr>
          <w:lang w:bidi="ar-LY"/>
        </w:rPr>
        <w:t xml:space="preserve">) </w:t>
      </w:r>
    </w:p>
    <w:p w14:paraId="106483D9" w14:textId="77777777" w:rsidR="00270A63" w:rsidRDefault="00270A63">
      <w:pPr>
        <w:jc w:val="right"/>
        <w:rPr>
          <w:rtl/>
          <w:lang w:bidi="ar-LY"/>
        </w:rPr>
      </w:pPr>
    </w:p>
    <w:p w14:paraId="7B22D73F" w14:textId="77777777" w:rsidR="00270A63" w:rsidRDefault="00270A63">
      <w:pPr>
        <w:rPr>
          <w:rFonts w:ascii="Arial" w:hAnsi="Arial" w:cs="AL-Mateen"/>
          <w:sz w:val="28"/>
          <w:szCs w:val="28"/>
          <w:rtl/>
        </w:rPr>
      </w:pPr>
    </w:p>
    <w:p w14:paraId="02A88DAB" w14:textId="77777777" w:rsidR="00270A63" w:rsidRDefault="00C70D97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...............................…</w:t>
      </w:r>
    </w:p>
    <w:p w14:paraId="174F7D50" w14:textId="77777777" w:rsidR="00270A63" w:rsidRDefault="00270A63">
      <w:pPr>
        <w:rPr>
          <w:rFonts w:ascii="Arial" w:hAnsi="Arial" w:cs="AL-Mateen"/>
          <w:sz w:val="28"/>
          <w:szCs w:val="28"/>
          <w:rtl/>
        </w:rPr>
      </w:pPr>
    </w:p>
    <w:p w14:paraId="5F8735A3" w14:textId="77777777" w:rsidR="00270A63" w:rsidRDefault="00270A63">
      <w:pPr>
        <w:rPr>
          <w:rFonts w:ascii="Arial" w:hAnsi="Arial" w:cs="AL-Mateen"/>
          <w:sz w:val="28"/>
          <w:szCs w:val="28"/>
          <w:rtl/>
        </w:rPr>
      </w:pPr>
    </w:p>
    <w:p w14:paraId="61219B4F" w14:textId="77777777" w:rsidR="00270A63" w:rsidRDefault="00C70D9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61501185" w14:textId="77777777" w:rsidR="00270A63" w:rsidRDefault="00C70D97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البرنامج..........................................    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...................................</w:t>
      </w:r>
    </w:p>
    <w:p w14:paraId="57BD03C4" w14:textId="77777777" w:rsidR="00270A63" w:rsidRDefault="00270A63">
      <w:pPr>
        <w:jc w:val="center"/>
        <w:rPr>
          <w:rFonts w:ascii="Arial" w:hAnsi="Arial" w:cs="AL-Mateen"/>
          <w:sz w:val="28"/>
          <w:szCs w:val="28"/>
          <w:rtl/>
        </w:rPr>
      </w:pPr>
    </w:p>
    <w:p w14:paraId="094657FD" w14:textId="77777777" w:rsidR="00270A63" w:rsidRDefault="00270A63">
      <w:pPr>
        <w:jc w:val="center"/>
        <w:rPr>
          <w:rFonts w:ascii="Arial" w:hAnsi="Arial" w:cs="AL-Mateen"/>
          <w:sz w:val="28"/>
          <w:szCs w:val="28"/>
          <w:rtl/>
        </w:rPr>
      </w:pPr>
    </w:p>
    <w:p w14:paraId="6AAA39F5" w14:textId="77777777" w:rsidR="00270A63" w:rsidRDefault="00C70D9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1F7E5CEC" w14:textId="77777777" w:rsidR="00270A63" w:rsidRDefault="00270A63">
      <w:pPr>
        <w:jc w:val="both"/>
        <w:rPr>
          <w:rFonts w:ascii="Arial" w:hAnsi="Arial" w:cs="AL-Mateen"/>
          <w:sz w:val="28"/>
          <w:szCs w:val="28"/>
          <w:rtl/>
        </w:rPr>
        <w:sectPr w:rsidR="00270A63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4DBF994F" w14:textId="77777777" w:rsidR="00270A63" w:rsidRDefault="00C70D97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 w:hint="cs"/>
          <w:b/>
          <w:bCs/>
          <w:sz w:val="28"/>
          <w:szCs w:val="28"/>
          <w:rtl/>
        </w:rPr>
        <w:lastRenderedPageBreak/>
        <w:t>مصفوفة المقرر الدراسي</w:t>
      </w:r>
      <w:r>
        <w:rPr>
          <w:rFonts w:ascii="Arial" w:hAnsi="Arial" w:cs="AL-Mateen" w:hint="cs"/>
          <w:b/>
          <w:bCs/>
          <w:sz w:val="28"/>
          <w:szCs w:val="28"/>
          <w:rtl/>
          <w:lang w:bidi="ar-LY"/>
        </w:rPr>
        <w:t>: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الكيمياء </w:t>
      </w:r>
      <w:proofErr w:type="gramStart"/>
      <w:r>
        <w:rPr>
          <w:rFonts w:ascii="Arial" w:hAnsi="Arial" w:cs="AL-Mateen" w:hint="cs"/>
          <w:sz w:val="28"/>
          <w:szCs w:val="28"/>
          <w:rtl/>
          <w:lang w:bidi="ar-LY"/>
        </w:rPr>
        <w:t>السريرية</w:t>
      </w:r>
      <w:r>
        <w:rPr>
          <w:rFonts w:ascii="Arial" w:hAnsi="Arial" w:cs="AL-Mateen" w:hint="cs"/>
          <w:sz w:val="28"/>
          <w:szCs w:val="28"/>
          <w:rtl/>
        </w:rPr>
        <w:t xml:space="preserve"> </w:t>
      </w:r>
      <w:r>
        <w:rPr>
          <w:rFonts w:ascii="Arial" w:hAnsi="Arial" w:cs="AL-Mateen"/>
          <w:sz w:val="28"/>
          <w:szCs w:val="28"/>
        </w:rPr>
        <w:t xml:space="preserve"> Clinical</w:t>
      </w:r>
      <w:proofErr w:type="gramEnd"/>
      <w:r>
        <w:rPr>
          <w:rFonts w:ascii="Arial" w:hAnsi="Arial" w:cs="AL-Mateen"/>
          <w:sz w:val="28"/>
          <w:szCs w:val="28"/>
        </w:rPr>
        <w:t xml:space="preserve"> Chemistry (MLT 255)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270A63" w14:paraId="2C65BD29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A6941CB" w14:textId="77777777" w:rsidR="00270A63" w:rsidRDefault="00C70D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30DD745" w14:textId="160D7F21" w:rsidR="00270A63" w:rsidRDefault="00294E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C70D97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50859B2" w14:textId="77777777" w:rsidR="00270A63" w:rsidRDefault="00C70D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270A63" w14:paraId="624F4949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561689E9" w14:textId="77777777" w:rsidR="00270A63" w:rsidRDefault="00270A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9B59C71" w14:textId="77777777" w:rsidR="00270A63" w:rsidRDefault="00270A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73F6B01" w14:textId="5F35EE37" w:rsidR="00270A63" w:rsidRPr="00294E39" w:rsidRDefault="00294E39" w:rsidP="00294E39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C70D97" w:rsidRPr="00294E3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6F8B193" w14:textId="153C09F0" w:rsidR="00270A63" w:rsidRPr="00294E39" w:rsidRDefault="00294E39" w:rsidP="00294E39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</w:t>
            </w:r>
            <w:proofErr w:type="gramStart"/>
            <w:r>
              <w:rPr>
                <w:rFonts w:ascii="Arial" w:hAnsi="Arial" w:cs="AL-Mateen"/>
                <w:sz w:val="22"/>
                <w:szCs w:val="22"/>
                <w:lang w:bidi="ar-LY"/>
              </w:rPr>
              <w:t>C )</w:t>
            </w:r>
            <w:r w:rsidR="00C70D97" w:rsidRPr="00294E3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</w:t>
            </w:r>
            <w:proofErr w:type="gramEnd"/>
            <w:r w:rsidR="00C70D97" w:rsidRPr="00294E3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DC10E53" w14:textId="45BA8033" w:rsidR="00270A63" w:rsidRDefault="00C70D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r w:rsidR="00294E39">
              <w:rPr>
                <w:rFonts w:ascii="Arial" w:hAnsi="Arial" w:cs="AL-Mateen"/>
                <w:sz w:val="22"/>
                <w:szCs w:val="22"/>
                <w:lang w:bidi="ar-LY"/>
              </w:rPr>
              <w:t>D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) 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المهارات العامة </w:t>
            </w:r>
          </w:p>
        </w:tc>
      </w:tr>
      <w:tr w:rsidR="00294E39" w14:paraId="448CC279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6BB6C22" w14:textId="77777777" w:rsidR="00294E39" w:rsidRDefault="00294E39" w:rsidP="00294E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F301C6F" w14:textId="3E0B1D79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63BF9E1F" w14:textId="1BD1834B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4921F642" w14:textId="45D9518A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36F12A81" w14:textId="26B57331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5CF85940" w14:textId="1730E7FD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3E84C38B" w14:textId="283035FA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064E766E" w14:textId="1FFAE39A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B21FFA7" w14:textId="79FA1E3D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32596B28" w14:textId="09D4B13E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B70ADEE" w14:textId="069D4BD1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CCD597B" w14:textId="4BDBFC63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0CEE8B3E" w14:textId="0FADE058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6608EE8" w14:textId="19AED77E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1573BC4" w14:textId="509D972B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A9C8DBD" w14:textId="1B3171C6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2F68D0F" w14:textId="70B956D5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278E6CF7" w14:textId="1ED507F6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1DF70484" w14:textId="5957AFCA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28750C0E" w14:textId="53AFC304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D5C2F3B" w14:textId="642363FC" w:rsidR="00294E39" w:rsidRDefault="00294E39" w:rsidP="00294E3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270A63" w14:paraId="463639C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70D8634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CE2687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CE3C19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6E484FD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17CECC0F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3770F5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995AAFF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3DCDB94D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84A8F73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7F6DE566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60663DB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E318E5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3E2D9763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6158242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233214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E8F771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0D82A83" w14:textId="77777777" w:rsidR="00270A63" w:rsidRDefault="00C70D97">
            <w:pPr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FE39AF6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69BCB21F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070A388A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E27C17A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0A63" w14:paraId="7241EBA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952E2E1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BD6A0EF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23E8F0CE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3A6ACB9A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E11B8B3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8E77820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2F8604E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D9373C3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CCD0177" w14:textId="77777777" w:rsidR="00270A63" w:rsidRDefault="00C70D97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6FBE155C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A46502C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67E9B9A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622420D6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F0C8CE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F876279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7D997E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1A5012A" w14:textId="77777777" w:rsidR="00270A63" w:rsidRDefault="00C70D97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322A5AFC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1DF14E44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4D544814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55E0065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0A63" w14:paraId="57C6539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5FAFC2D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8A92A5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CC9CC8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4B75199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27C2212B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D7F2624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1E723C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B541D99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500591C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296781E8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2EF6924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5A144F9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6DFD576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540CC18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0869DBC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01FF79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56A477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194400B0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60DB27B8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528F9822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9CC2578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0A63" w14:paraId="6A1CE9A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E82CB3B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ABB99C9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7A07778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0B816923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EAB173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4A5847A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CD7EF7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30BB74C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383C87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01AF09C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316CAC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C6DB93E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868498D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03DA91C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31618F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1C887A2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5082BD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586B6B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C1C5BA1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56F3FE76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975DFF0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0A63" w14:paraId="597F120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23D9CD6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0B6BBC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3D4E627D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03251ACC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4181BF3A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2991F9FA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602FB77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219F6E83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7C5F563A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707BE993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CBCAC0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D1F891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4DDB125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685A9AE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76F52B7D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692549E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6C5152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71C863C2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2FA80256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5B6E76A1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7C9F314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0A63" w14:paraId="4F028643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AE315CA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4C7EDA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34F40E1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11CD185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042AA95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3AFB7EF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7304EA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534615D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42C0A349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7344FA9D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84F43BC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3E64FF3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4595F02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42AB799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15D2419A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E2B5C5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081E2E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31E9757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644CBBC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6ECDE304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6B8B0317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0A63" w14:paraId="4A1FA141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EE58A63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6FACDD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4EB7445D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7C67169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42F9A9E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EF6E35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07B9EAC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1831D4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E06084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68775D9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64E1CC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DB2887C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52ACB8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5CDA7C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DAAFCB9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3AE273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B2332E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065DF6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F375CE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9F52EB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E0DFFEB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0A63" w14:paraId="1E2A0456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nil"/>
            </w:tcBorders>
            <w:shd w:val="clear" w:color="auto" w:fill="FFFF00"/>
          </w:tcPr>
          <w:p w14:paraId="3A7A0E02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777842EE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5BACAD5B" w14:textId="77777777" w:rsidR="00270A63" w:rsidRDefault="00C70D97">
            <w:pPr>
              <w:spacing w:line="375" w:lineRule="atLeast"/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b/>
                <w:bCs/>
                <w:sz w:val="22"/>
                <w:szCs w:val="22"/>
                <w:lang w:bidi="ar-LY"/>
              </w:rPr>
              <w:t>Midterm Exam</w:t>
            </w: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0A835082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6AB43389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0A63" w14:paraId="1ECCA086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CF50A7E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6FA066E7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779891A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331940BD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6AD550A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1482EC49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DAF5E32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4BBD8E69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420D41DD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11A48E7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0F9E9CE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E8B72B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06BD432F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5C70DFC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07040F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4D78CAA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E022AE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2433A98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6CFC0EFD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1CD7E36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13C3BBE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0A63" w14:paraId="4AD96CB0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B36E682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435DB0C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512142A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0408200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46C04D1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A5AEBFC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D1C00F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65D8BB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DC70903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47B17DC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F32EBE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F91922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EA0BEB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7C0E5B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E3A88A9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6997EA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99DB76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29183E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37DB8BE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9250E9D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DAE82B7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0A63" w14:paraId="4F00090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22B7D59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97477E8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7428B813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592AA4F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54077F8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EB367A8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39C722D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23D4C92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5363F8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7D2FEDC3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2C15C3C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EFC3028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BD03782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DEE7349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FC9712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E063FB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0C6BD2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3523B3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4B63E2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E7AB569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48E37D0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270A63" w14:paraId="525335E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F66D237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69B7A2C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05AABCE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021ED33A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39A0699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6FC1411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F9AC41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2F618032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A7FCFD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24551E22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071CC93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8C2158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28C05B5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67E0CF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CC5896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134E42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521545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6AAD022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A3800F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188B33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44FBEB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270A63" w14:paraId="6285A03D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D471809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B71F18E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2D4C97B9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E65647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42CBA49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975DE7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9E3679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40B1F0C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9B2D27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1C422263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02DF80C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E91B428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6B94D8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DE01C9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9B4CF6D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886600A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61F388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6C74A4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67AA14C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98AD05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D66F9B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270A63" w14:paraId="7D99C02D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B61330E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1AF07355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15855627" w14:textId="77777777" w:rsidR="00270A63" w:rsidRDefault="00270A63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746DA9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343C3363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48C2BB8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1075E1A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155E72CD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366DF9D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7C9D6C43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E4F4B9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312ABA8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7E50056C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EED05A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5FFE84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580017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AC4A86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057DCC38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46102E6D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5D1DA45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EAF7EA2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270A63" w14:paraId="1694AE19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E6E6873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CA9BF0C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5712FCD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0E7A708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0A3C2CF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195902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C7867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7E7DCDA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3B4784BE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41BC3747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CA178DB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9A6502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4C5D1BD1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2B00F73F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5F19E8F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00AB3E8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5A487E6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03FE5A60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4FDDD17E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0BBAA698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1295C434" w14:textId="77777777" w:rsidR="00270A63" w:rsidRDefault="00C70D97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270A63" w14:paraId="5C7C0A9F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60E7B931" w14:textId="77777777" w:rsidR="00270A63" w:rsidRDefault="00C70D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  <w:vAlign w:val="center"/>
          </w:tcPr>
          <w:p w14:paraId="34B86AE9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  <w:vAlign w:val="center"/>
          </w:tcPr>
          <w:p w14:paraId="21EA4BE1" w14:textId="77777777" w:rsidR="00270A63" w:rsidRDefault="00C70D97">
            <w:pPr>
              <w:spacing w:line="375" w:lineRule="atLeast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b/>
                <w:bCs/>
                <w:sz w:val="22"/>
                <w:szCs w:val="22"/>
                <w:lang w:bidi="ar-LY"/>
              </w:rPr>
              <w:t xml:space="preserve">Final Exam  </w:t>
            </w: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  <w:vAlign w:val="center"/>
          </w:tcPr>
          <w:p w14:paraId="346DCB69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7321385C" w14:textId="77777777" w:rsidR="00270A63" w:rsidRDefault="00270A63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1DB05081" w14:textId="77777777" w:rsidR="00270A63" w:rsidRDefault="00270A63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7857E806" w14:textId="77777777" w:rsidR="00270A63" w:rsidRDefault="00270A63" w:rsidP="00294E39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270A63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DBEF" w14:textId="77777777" w:rsidR="00C70D97" w:rsidRDefault="00C70D97">
      <w:r>
        <w:separator/>
      </w:r>
    </w:p>
  </w:endnote>
  <w:endnote w:type="continuationSeparator" w:id="0">
    <w:p w14:paraId="57C26F30" w14:textId="77777777" w:rsidR="00C70D97" w:rsidRDefault="00C7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7B4F" w14:textId="77777777" w:rsidR="00270A63" w:rsidRDefault="00C70D97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8E331" wp14:editId="1870C99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10A8E" w14:textId="77777777" w:rsidR="00270A63" w:rsidRDefault="00C70D9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8E3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7E10A8E" w14:textId="77777777" w:rsidR="00270A63" w:rsidRDefault="00C70D9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5FA1" w14:textId="77777777" w:rsidR="00C70D97" w:rsidRDefault="00C70D97">
      <w:r>
        <w:separator/>
      </w:r>
    </w:p>
  </w:footnote>
  <w:footnote w:type="continuationSeparator" w:id="0">
    <w:p w14:paraId="04688BAD" w14:textId="77777777" w:rsidR="00C70D97" w:rsidRDefault="00C70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70A63"/>
    <w:rsid w:val="00281117"/>
    <w:rsid w:val="00294E39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70D97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CA83D7C"/>
    <w:rsid w:val="16A0533A"/>
    <w:rsid w:val="16C820A2"/>
    <w:rsid w:val="27A0634D"/>
    <w:rsid w:val="2E97707E"/>
    <w:rsid w:val="362C4B63"/>
    <w:rsid w:val="36B13932"/>
    <w:rsid w:val="418D41A1"/>
    <w:rsid w:val="4DC1550A"/>
    <w:rsid w:val="53B77594"/>
    <w:rsid w:val="53BA2BA2"/>
    <w:rsid w:val="64F174B7"/>
    <w:rsid w:val="67CC1212"/>
    <w:rsid w:val="6E1B29B3"/>
    <w:rsid w:val="6E8D78B3"/>
    <w:rsid w:val="7492069A"/>
    <w:rsid w:val="76B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89104A"/>
  <w15:docId w15:val="{78668148-3A14-4868-B164-A6461974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1367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4</cp:revision>
  <cp:lastPrinted>2013-05-22T07:39:00Z</cp:lastPrinted>
  <dcterms:created xsi:type="dcterms:W3CDTF">2023-08-09T23:23:00Z</dcterms:created>
  <dcterms:modified xsi:type="dcterms:W3CDTF">2025-12-31T01:37:00Z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